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EA0D" w14:textId="77777777" w:rsidR="00AC54B4" w:rsidRDefault="00AC54B4">
      <w:pPr>
        <w:rPr>
          <w:rFonts w:ascii="Arial" w:hAnsi="Arial" w:cs="Arial"/>
        </w:rPr>
      </w:pPr>
    </w:p>
    <w:p w14:paraId="392476BB" w14:textId="44F4B83C" w:rsidR="00485F50" w:rsidRPr="00D677CD" w:rsidRDefault="00485F50">
      <w:pPr>
        <w:rPr>
          <w:b/>
          <w:bCs/>
          <w:color w:val="000000" w:themeColor="text1"/>
          <w:sz w:val="28"/>
          <w:szCs w:val="28"/>
        </w:rPr>
      </w:pPr>
      <w:r w:rsidRPr="00D677CD">
        <w:rPr>
          <w:b/>
          <w:bCs/>
          <w:color w:val="000000" w:themeColor="text1"/>
          <w:sz w:val="28"/>
          <w:szCs w:val="28"/>
        </w:rPr>
        <w:t>COMUNICATO STAMPA</w:t>
      </w:r>
      <w:r w:rsidR="00B63669" w:rsidRPr="00D677CD">
        <w:rPr>
          <w:b/>
          <w:bCs/>
          <w:color w:val="000000" w:themeColor="text1"/>
          <w:sz w:val="28"/>
          <w:szCs w:val="28"/>
        </w:rPr>
        <w:t xml:space="preserve"> – IL PPWR </w:t>
      </w:r>
      <w:r w:rsidR="001D6625" w:rsidRPr="00D677CD">
        <w:rPr>
          <w:b/>
          <w:bCs/>
          <w:color w:val="000000" w:themeColor="text1"/>
          <w:sz w:val="28"/>
          <w:szCs w:val="28"/>
        </w:rPr>
        <w:t xml:space="preserve">È </w:t>
      </w:r>
      <w:r w:rsidR="00B63669" w:rsidRPr="00D677CD">
        <w:rPr>
          <w:b/>
          <w:bCs/>
          <w:color w:val="000000" w:themeColor="text1"/>
          <w:sz w:val="28"/>
          <w:szCs w:val="28"/>
        </w:rPr>
        <w:t>SBAGLIATO E DANNEGGIA L’ITALIA</w:t>
      </w:r>
      <w:r w:rsidRPr="00D677CD">
        <w:rPr>
          <w:b/>
          <w:bCs/>
          <w:color w:val="000000" w:themeColor="text1"/>
          <w:sz w:val="28"/>
          <w:szCs w:val="28"/>
        </w:rPr>
        <w:t xml:space="preserve">       </w:t>
      </w:r>
    </w:p>
    <w:p w14:paraId="5D43A1F2" w14:textId="77777777" w:rsidR="00485F50" w:rsidRDefault="00485F50">
      <w:pPr>
        <w:rPr>
          <w:b/>
          <w:bCs/>
          <w:color w:val="000000" w:themeColor="text1"/>
        </w:rPr>
      </w:pPr>
    </w:p>
    <w:p w14:paraId="28EAEA07" w14:textId="77777777" w:rsidR="00D677CD" w:rsidRPr="00ED35B9" w:rsidRDefault="00D677CD" w:rsidP="00D677CD">
      <w:pPr>
        <w:pStyle w:val="Default"/>
        <w:rPr>
          <w:sz w:val="28"/>
          <w:szCs w:val="28"/>
        </w:rPr>
      </w:pPr>
      <w:r w:rsidRPr="00ED35B9">
        <w:rPr>
          <w:b/>
          <w:bCs/>
          <w:sz w:val="28"/>
          <w:szCs w:val="28"/>
        </w:rPr>
        <w:t>Il contesto</w:t>
      </w:r>
    </w:p>
    <w:p w14:paraId="5720E0D0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proposta di regolamento su imballaggi e rifiuti da imballaggio (PPWR) </w:t>
      </w:r>
      <w:r>
        <w:rPr>
          <w:sz w:val="23"/>
          <w:szCs w:val="23"/>
        </w:rPr>
        <w:t>presentata dalla Commissione Europea mescola alcuni positivi principi-guida con una critica ideologica verso abitudini di consumo e stili di vita popolari, e soprattutto con un’idea di sostenibilità che non considera gli impatti economici e sociali, che, una normativa del genere avrebbe.</w:t>
      </w:r>
    </w:p>
    <w:p w14:paraId="235D7656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Fermo restando che i benefici ambientali di questo regolamento restano dubbi.</w:t>
      </w:r>
    </w:p>
    <w:p w14:paraId="539194DC" w14:textId="77777777" w:rsidR="00D677CD" w:rsidRDefault="00D677CD" w:rsidP="00D677CD">
      <w:pPr>
        <w:pStyle w:val="Default"/>
        <w:rPr>
          <w:sz w:val="23"/>
          <w:szCs w:val="23"/>
        </w:rPr>
      </w:pPr>
    </w:p>
    <w:p w14:paraId="2A43ED56" w14:textId="77777777" w:rsidR="00D677CD" w:rsidRPr="00ED35B9" w:rsidRDefault="00D677CD" w:rsidP="00D677CD">
      <w:pPr>
        <w:pStyle w:val="Default"/>
        <w:rPr>
          <w:sz w:val="28"/>
          <w:szCs w:val="28"/>
        </w:rPr>
      </w:pPr>
      <w:r w:rsidRPr="00ED35B9">
        <w:rPr>
          <w:b/>
          <w:bCs/>
          <w:sz w:val="28"/>
          <w:szCs w:val="28"/>
        </w:rPr>
        <w:t>Le criticità</w:t>
      </w:r>
    </w:p>
    <w:p w14:paraId="0AF4BA49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PPWR contiene numerosi punti negativi rispetto a intere filiere e agli interessi nazionali</w:t>
      </w:r>
    </w:p>
    <w:p w14:paraId="699B4547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particolare la proposta: </w:t>
      </w:r>
    </w:p>
    <w:p w14:paraId="04BDAEEE" w14:textId="77777777" w:rsidR="00D677CD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non è supportata da chiare e inconfutabili evidenze scientifiche; </w:t>
      </w:r>
    </w:p>
    <w:p w14:paraId="7BEC96C8" w14:textId="77777777" w:rsidR="00D677CD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favorisce il riuso a scapito del riciclo, che è invece un’eccellenza italiana (anche per gli imballaggi plastici); </w:t>
      </w:r>
    </w:p>
    <w:p w14:paraId="3E616AF2" w14:textId="46587E46" w:rsidR="00D677CD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spinge per sistemi di riutilizzo spesso inapplicabili e potenzialmente rischiosi per la sicurezza del consumatore; </w:t>
      </w:r>
    </w:p>
    <w:p w14:paraId="3A509C28" w14:textId="5580B97B" w:rsidR="00D677CD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mette al bando imballaggi plastici già oggi riciclabili, riciclati e contenenti anche più del 70% di riciclato, quindi oltre la soglia che lo stesso Regolamento fissa come obiettivo per il 2040 (50%); </w:t>
      </w:r>
    </w:p>
    <w:p w14:paraId="418386FE" w14:textId="77777777" w:rsidR="00D677CD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con il bando di imballaggi per ortofrutta al di sotto di 1,5kg danneggia la distribuzione e l’export di frutta e verdura; </w:t>
      </w:r>
    </w:p>
    <w:p w14:paraId="6DDE9DA8" w14:textId="77777777" w:rsidR="00D677CD" w:rsidRPr="009F6313" w:rsidRDefault="00D677CD" w:rsidP="00D677CD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disconosce il ruolo fondamentale degli imballaggi nel contenimento dello spreco alimentare che è oggi fra le maggiori cause di produzione di CO2; </w:t>
      </w:r>
    </w:p>
    <w:p w14:paraId="105318A4" w14:textId="77777777" w:rsidR="00D677CD" w:rsidRDefault="00D677CD" w:rsidP="00D677C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limita le possibilità di sviluppo della filiera della bioplastica italiana soprattutto nel settore Horeca. </w:t>
      </w:r>
    </w:p>
    <w:p w14:paraId="0B45CC78" w14:textId="5CFE7567" w:rsidR="00E55EF9" w:rsidRDefault="00E55EF9" w:rsidP="00D677CD">
      <w:pPr>
        <w:rPr>
          <w:rFonts w:ascii="Montserrat" w:hAnsi="Montserrat" w:cs="Arial"/>
          <w:b/>
          <w:bCs/>
        </w:rPr>
      </w:pPr>
    </w:p>
    <w:p w14:paraId="62554515" w14:textId="77777777" w:rsidR="00D677CD" w:rsidRPr="00ED35B9" w:rsidRDefault="00D677CD" w:rsidP="00D677CD">
      <w:pPr>
        <w:pStyle w:val="Default"/>
        <w:rPr>
          <w:sz w:val="28"/>
          <w:szCs w:val="28"/>
        </w:rPr>
      </w:pPr>
      <w:r w:rsidRPr="00ED35B9">
        <w:rPr>
          <w:b/>
          <w:bCs/>
          <w:sz w:val="28"/>
          <w:szCs w:val="28"/>
        </w:rPr>
        <w:t>Il percorso legislativo</w:t>
      </w:r>
    </w:p>
    <w:p w14:paraId="7C4833C1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votazione del 24 Ottobre in Commissione </w:t>
      </w:r>
      <w:proofErr w:type="spellStart"/>
      <w:r>
        <w:rPr>
          <w:sz w:val="23"/>
          <w:szCs w:val="23"/>
        </w:rPr>
        <w:t>Envi</w:t>
      </w:r>
      <w:proofErr w:type="spellEnd"/>
      <w:r>
        <w:rPr>
          <w:sz w:val="23"/>
          <w:szCs w:val="23"/>
        </w:rPr>
        <w:t xml:space="preserve">, che ha la competenza diretta e titolarità sulla proposta di Regolamento, ha evidenziato una sostanziale spaccatura sugli articoli più criticati, 22 e 26, relativi agli imballaggi per ortofrutta e Horeca: questi passaggi sono stati approvati con uno scarto ridottissimo. </w:t>
      </w:r>
    </w:p>
    <w:p w14:paraId="78F6805A" w14:textId="5F1AA851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22 novembre si terrà l’ultimo atto di questa fase legislativa, il voto in assemblea plenaria del </w:t>
      </w:r>
      <w:r w:rsidR="00CC4075">
        <w:rPr>
          <w:sz w:val="23"/>
          <w:szCs w:val="23"/>
        </w:rPr>
        <w:t>P</w:t>
      </w:r>
      <w:r>
        <w:rPr>
          <w:sz w:val="23"/>
          <w:szCs w:val="23"/>
        </w:rPr>
        <w:t>arlamento europeo.</w:t>
      </w:r>
    </w:p>
    <w:p w14:paraId="23A6E5AC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 frattempo il Consiglio dell’Unione Europea ha cominciato a sua volta l’esame della proposta PPWR. </w:t>
      </w:r>
    </w:p>
    <w:p w14:paraId="54C5BD64" w14:textId="5ED95A66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testo di compromesso presentato dalla Presidenza </w:t>
      </w:r>
      <w:r w:rsidR="00CC4075">
        <w:rPr>
          <w:sz w:val="23"/>
          <w:szCs w:val="23"/>
        </w:rPr>
        <w:t>s</w:t>
      </w:r>
      <w:r>
        <w:rPr>
          <w:sz w:val="23"/>
          <w:szCs w:val="23"/>
        </w:rPr>
        <w:t xml:space="preserve">pagnola peggiora ulteriormente alcune norme-chiave, e non rispecchia minimamente la posizione fin qui sostenuta dal Governo Italiano a difesa degli interessi nazionali. </w:t>
      </w:r>
    </w:p>
    <w:p w14:paraId="5A03C8E8" w14:textId="4CDC368B" w:rsidR="00D677CD" w:rsidRDefault="001D6625" w:rsidP="00D677C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F02733" w14:textId="422D2C28" w:rsidR="00D677CD" w:rsidRPr="00ED35B9" w:rsidRDefault="00D677CD" w:rsidP="00D677CD">
      <w:pPr>
        <w:pStyle w:val="Default"/>
        <w:rPr>
          <w:sz w:val="28"/>
          <w:szCs w:val="28"/>
        </w:rPr>
      </w:pPr>
      <w:r w:rsidRPr="00ED35B9">
        <w:rPr>
          <w:b/>
          <w:bCs/>
          <w:sz w:val="28"/>
          <w:szCs w:val="28"/>
        </w:rPr>
        <w:t xml:space="preserve">Tenere il punto </w:t>
      </w:r>
    </w:p>
    <w:p w14:paraId="751C7810" w14:textId="77777777" w:rsidR="00D677CD" w:rsidRDefault="00D677CD" w:rsidP="00D677CD">
      <w:pPr>
        <w:pStyle w:val="Default"/>
        <w:rPr>
          <w:b/>
          <w:bCs/>
          <w:sz w:val="23"/>
          <w:szCs w:val="23"/>
        </w:rPr>
      </w:pPr>
      <w:r w:rsidRPr="00ED35B9">
        <w:rPr>
          <w:sz w:val="23"/>
          <w:szCs w:val="23"/>
        </w:rPr>
        <w:t xml:space="preserve">A fronte di questa situazione </w:t>
      </w:r>
      <w:r>
        <w:rPr>
          <w:b/>
          <w:bCs/>
          <w:sz w:val="23"/>
          <w:szCs w:val="23"/>
        </w:rPr>
        <w:t xml:space="preserve">riteniamo fondamentale che gli Europarlamentari italiani presentino e sostengano emendamenti che vadano nella direzione di una </w:t>
      </w:r>
      <w:r w:rsidRPr="00F73B8F">
        <w:rPr>
          <w:b/>
          <w:bCs/>
          <w:sz w:val="23"/>
          <w:szCs w:val="23"/>
        </w:rPr>
        <w:t>profonda rivisitazione dell’intero provvedimento</w:t>
      </w:r>
      <w:r>
        <w:rPr>
          <w:b/>
          <w:bCs/>
          <w:sz w:val="23"/>
          <w:szCs w:val="23"/>
        </w:rPr>
        <w:t>.</w:t>
      </w:r>
    </w:p>
    <w:p w14:paraId="6036E1EB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A</w:t>
      </w:r>
      <w:r w:rsidRPr="00ED35B9">
        <w:rPr>
          <w:sz w:val="23"/>
          <w:szCs w:val="23"/>
        </w:rPr>
        <w:t xml:space="preserve">uspichiamo </w:t>
      </w:r>
      <w:r>
        <w:rPr>
          <w:sz w:val="23"/>
          <w:szCs w:val="23"/>
        </w:rPr>
        <w:t xml:space="preserve">inoltre </w:t>
      </w:r>
      <w:r w:rsidRPr="00ED35B9">
        <w:rPr>
          <w:sz w:val="23"/>
          <w:szCs w:val="23"/>
        </w:rPr>
        <w:t>che il Governo Italiano tenga il punto e che esprima una critica netta della proposta della presidenza spagnola</w:t>
      </w:r>
      <w:r>
        <w:rPr>
          <w:sz w:val="23"/>
          <w:szCs w:val="23"/>
        </w:rPr>
        <w:t>.</w:t>
      </w:r>
    </w:p>
    <w:p w14:paraId="3485D88D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 w:rsidRPr="00ED35B9">
        <w:rPr>
          <w:sz w:val="23"/>
          <w:szCs w:val="23"/>
        </w:rPr>
        <w:t>a cancellazione dei punti 2 e 3 dell’Allegato V collegato all’articolo 22, e dei paragrafi 2,3,4,5, e 6 dell’articolo 26</w:t>
      </w:r>
      <w:r>
        <w:rPr>
          <w:sz w:val="23"/>
          <w:szCs w:val="23"/>
        </w:rPr>
        <w:t>, è necessaria</w:t>
      </w:r>
      <w:r w:rsidRPr="00ED35B9">
        <w:rPr>
          <w:sz w:val="23"/>
          <w:szCs w:val="23"/>
        </w:rPr>
        <w:t xml:space="preserve">.  </w:t>
      </w:r>
    </w:p>
    <w:p w14:paraId="0DD16D72" w14:textId="77777777" w:rsidR="00D677CD" w:rsidRPr="00ED35B9" w:rsidRDefault="00D677CD" w:rsidP="00D677CD">
      <w:pPr>
        <w:pStyle w:val="Default"/>
        <w:rPr>
          <w:sz w:val="23"/>
          <w:szCs w:val="23"/>
        </w:rPr>
      </w:pPr>
      <w:r w:rsidRPr="00ED35B9">
        <w:rPr>
          <w:sz w:val="23"/>
          <w:szCs w:val="23"/>
        </w:rPr>
        <w:t>In quest</w:t>
      </w:r>
      <w:r>
        <w:rPr>
          <w:sz w:val="23"/>
          <w:szCs w:val="23"/>
        </w:rPr>
        <w:t xml:space="preserve">a azione </w:t>
      </w:r>
      <w:r w:rsidRPr="00ED35B9">
        <w:rPr>
          <w:sz w:val="23"/>
          <w:szCs w:val="23"/>
        </w:rPr>
        <w:t xml:space="preserve">l’Italia </w:t>
      </w:r>
      <w:r>
        <w:rPr>
          <w:sz w:val="23"/>
          <w:szCs w:val="23"/>
        </w:rPr>
        <w:t>può trovare nuovi alleati:</w:t>
      </w:r>
      <w:r w:rsidRPr="00ED35B9">
        <w:rPr>
          <w:sz w:val="23"/>
          <w:szCs w:val="23"/>
        </w:rPr>
        <w:t xml:space="preserve"> stanno infatti emergendo diversi malumori in molti Stati membri</w:t>
      </w:r>
      <w:r>
        <w:rPr>
          <w:sz w:val="23"/>
          <w:szCs w:val="23"/>
        </w:rPr>
        <w:t>.</w:t>
      </w:r>
    </w:p>
    <w:p w14:paraId="3E9C17CA" w14:textId="77777777" w:rsidR="00D677CD" w:rsidRDefault="00D677CD" w:rsidP="00D677CD">
      <w:pPr>
        <w:rPr>
          <w:rFonts w:ascii="Montserrat" w:hAnsi="Montserrat" w:cs="Arial"/>
          <w:b/>
          <w:bCs/>
        </w:rPr>
      </w:pPr>
    </w:p>
    <w:p w14:paraId="5E6DF459" w14:textId="77777777" w:rsidR="00D677CD" w:rsidRPr="00ED35B9" w:rsidRDefault="00D677CD" w:rsidP="00D677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L’Italia che lavora è contro il PPWR</w:t>
      </w:r>
    </w:p>
    <w:p w14:paraId="3B43E555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Questa è la voce di Pro Food e quella dei quasi 5.000 dipendenti delle sue aziende; ma sappiamo che tutte queste istanze sono anche quelle dell’industria del riciclo, della filiera agro-alimentare, della ristorazione collettiva, della grande distribuzione: come dimostrato dalla recente audizione alla Camera delle Confederazioni di agricoltura, industria, commercio, artigianato (</w:t>
      </w:r>
      <w:hyperlink r:id="rId7" w:history="1">
        <w:r w:rsidRPr="0006148D">
          <w:rPr>
            <w:rStyle w:val="Collegamentoipertestuale"/>
            <w:sz w:val="23"/>
            <w:szCs w:val="23"/>
          </w:rPr>
          <w:t>https://www.confagricoltura.it/ita/area-stampa/comunicati/regolamento-ue-imballaggi-le-imprese-in-audizione-alla-camera-forte-allarme-a-rischio-intere-filiere</w:t>
        </w:r>
      </w:hyperlink>
      <w:r>
        <w:rPr>
          <w:sz w:val="23"/>
          <w:szCs w:val="23"/>
        </w:rPr>
        <w:t>).</w:t>
      </w:r>
    </w:p>
    <w:p w14:paraId="36C1B00B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Stesso tono hanno avuto e hanno prese di posizione congiunte di altre associazioni di categoria e del mondo cooperativo (</w:t>
      </w:r>
      <w:hyperlink r:id="rId8" w:history="1">
        <w:r w:rsidRPr="00F70C5E">
          <w:rPr>
            <w:rStyle w:val="Collegamentoipertestuale"/>
            <w:sz w:val="23"/>
            <w:szCs w:val="23"/>
          </w:rPr>
          <w:t>https://www.coldiretti.it/ambiente-e-sviluppo-sostenibile/ue-appello-dalle-associazioni-alla-meloni-no-a-regolamento-imballaggi-perche-aumenta-inquinamento</w:t>
        </w:r>
      </w:hyperlink>
      <w:r>
        <w:rPr>
          <w:sz w:val="23"/>
          <w:szCs w:val="23"/>
        </w:rPr>
        <w:t>) e da tutte le sigle sindacali (</w:t>
      </w:r>
      <w:hyperlink r:id="rId9" w:history="1">
        <w:r w:rsidRPr="00794982">
          <w:rPr>
            <w:rStyle w:val="Collegamentoipertestuale"/>
            <w:sz w:val="23"/>
            <w:szCs w:val="23"/>
          </w:rPr>
          <w:t>https://agenparl.eu/2023/11/16/documento-filctemcgil-femca-cisl-uiltec-uil-in-merito-al-regolamento-ue-imballaggi-e-rifiuti-di-imballaggio-ppwr/</w:t>
        </w:r>
      </w:hyperlink>
      <w:r>
        <w:rPr>
          <w:sz w:val="23"/>
          <w:szCs w:val="23"/>
        </w:rPr>
        <w:t>) .</w:t>
      </w:r>
    </w:p>
    <w:p w14:paraId="3F8B5862" w14:textId="77777777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Siamo certi che queste siano anche le istanze della gran parte dei consumatori-cittadini italiani.</w:t>
      </w:r>
    </w:p>
    <w:p w14:paraId="5FCA7EE4" w14:textId="77777777" w:rsidR="00D677CD" w:rsidRDefault="00D677CD" w:rsidP="00D677CD">
      <w:pPr>
        <w:pStyle w:val="Default"/>
        <w:rPr>
          <w:sz w:val="23"/>
          <w:szCs w:val="23"/>
        </w:rPr>
      </w:pPr>
    </w:p>
    <w:p w14:paraId="7672E21E" w14:textId="4C20511F" w:rsidR="00D677CD" w:rsidRDefault="00D677CD" w:rsidP="00D677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Milano, </w:t>
      </w:r>
      <w:r w:rsidR="00B62905">
        <w:rPr>
          <w:sz w:val="23"/>
          <w:szCs w:val="23"/>
        </w:rPr>
        <w:t>20</w:t>
      </w:r>
      <w:r>
        <w:rPr>
          <w:sz w:val="23"/>
          <w:szCs w:val="23"/>
        </w:rPr>
        <w:t xml:space="preserve"> novembre 2023</w:t>
      </w:r>
    </w:p>
    <w:p w14:paraId="2F72B3F1" w14:textId="77777777" w:rsidR="00D677CD" w:rsidRDefault="00D677CD" w:rsidP="00D677CD">
      <w:pPr>
        <w:rPr>
          <w:rFonts w:ascii="Montserrat" w:hAnsi="Montserrat" w:cs="Arial"/>
          <w:b/>
          <w:bCs/>
        </w:rPr>
      </w:pPr>
    </w:p>
    <w:p w14:paraId="51C7AF57" w14:textId="77777777" w:rsidR="00D677CD" w:rsidRDefault="00D677CD" w:rsidP="00D677CD">
      <w:pPr>
        <w:rPr>
          <w:i/>
          <w:iCs/>
          <w:sz w:val="23"/>
          <w:szCs w:val="23"/>
        </w:rPr>
      </w:pPr>
    </w:p>
    <w:p w14:paraId="4CE00FFE" w14:textId="6C74A415" w:rsidR="00D677CD" w:rsidRDefault="00D677CD" w:rsidP="00D677CD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Pro Food è il gruppo merceologico interno a Federazione Gomma Plastica (Confindustria), che raccoglie 14 aziende italiane produttrici di contenitori in materie plastiche destinati al confezionamento, alla distribuzione e al consumo di alimenti e bevande. Le Aziende associate a Pro Food impiegano circa 4.500 addetti dislocati in 29 impianti produttivi in Italia e all’estero, sviluppano un fatturato di 1,5 mld€ e rappresentano oltre il 70% della produzione italiana di settore.</w:t>
      </w:r>
    </w:p>
    <w:p w14:paraId="071CE930" w14:textId="77777777" w:rsidR="001D6625" w:rsidRDefault="001D6625" w:rsidP="00D677CD">
      <w:pPr>
        <w:rPr>
          <w:i/>
          <w:iCs/>
          <w:sz w:val="23"/>
          <w:szCs w:val="23"/>
        </w:rPr>
      </w:pPr>
    </w:p>
    <w:p w14:paraId="294A4F92" w14:textId="77777777" w:rsidR="001D6625" w:rsidRDefault="001D6625" w:rsidP="00D677CD">
      <w:pPr>
        <w:rPr>
          <w:i/>
          <w:iCs/>
          <w:sz w:val="23"/>
          <w:szCs w:val="23"/>
        </w:rPr>
      </w:pPr>
    </w:p>
    <w:p w14:paraId="78E9FCBA" w14:textId="77777777" w:rsidR="00C83AFD" w:rsidRDefault="00C83AFD" w:rsidP="00D677CD">
      <w:pPr>
        <w:rPr>
          <w:i/>
          <w:iCs/>
          <w:sz w:val="23"/>
          <w:szCs w:val="23"/>
        </w:rPr>
      </w:pPr>
    </w:p>
    <w:p w14:paraId="3BA42AE7" w14:textId="77777777" w:rsidR="00C83AFD" w:rsidRDefault="00C83AFD" w:rsidP="00D677CD">
      <w:pPr>
        <w:rPr>
          <w:i/>
          <w:iCs/>
          <w:sz w:val="23"/>
          <w:szCs w:val="23"/>
        </w:rPr>
      </w:pPr>
    </w:p>
    <w:p w14:paraId="47BF251E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b/>
          <w:bCs/>
          <w:sz w:val="18"/>
          <w:szCs w:val="18"/>
          <w:lang w:eastAsia="it-IT"/>
        </w:rPr>
        <w:t>Pro Food </w:t>
      </w:r>
    </w:p>
    <w:p w14:paraId="0AFFD98D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Gruppo Produttori Imballaggi per alimenti freschi </w:t>
      </w:r>
    </w:p>
    <w:p w14:paraId="1449AE0C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 xml:space="preserve">c/o Federazione Gomma Plastica - </w:t>
      </w:r>
      <w:proofErr w:type="spellStart"/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Unionplast</w:t>
      </w:r>
      <w:proofErr w:type="spellEnd"/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.</w:t>
      </w:r>
    </w:p>
    <w:p w14:paraId="69A6C232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Via San Vittore 36, Milano</w:t>
      </w:r>
    </w:p>
    <w:p w14:paraId="3D74EF13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</w:p>
    <w:p w14:paraId="4A048FDB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Visita il </w:t>
      </w:r>
      <w:hyperlink r:id="rId10" w:history="1">
        <w:r w:rsidRPr="00C83AFD">
          <w:rPr>
            <w:rFonts w:ascii="Montserrat" w:eastAsia="Times New Roman" w:hAnsi="Montserrat" w:cs="Times New Roman"/>
            <w:color w:val="0000FF"/>
            <w:sz w:val="18"/>
            <w:szCs w:val="18"/>
            <w:u w:val="single"/>
            <w:lang w:eastAsia="it-IT"/>
          </w:rPr>
          <w:t>sito di Pro Food</w:t>
        </w:r>
      </w:hyperlink>
    </w:p>
    <w:p w14:paraId="2C0FAA3D" w14:textId="77777777" w:rsidR="001D6625" w:rsidRPr="00C83AFD" w:rsidRDefault="001D6625" w:rsidP="001D6625">
      <w:pPr>
        <w:rPr>
          <w:rFonts w:ascii="Montserrat" w:eastAsia="Times New Roman" w:hAnsi="Montserrat" w:cs="Times New Roman"/>
          <w:sz w:val="18"/>
          <w:szCs w:val="18"/>
          <w:lang w:eastAsia="it-IT"/>
        </w:rPr>
      </w:pPr>
      <w:r w:rsidRPr="00C83AFD">
        <w:rPr>
          <w:rFonts w:ascii="Montserrat" w:eastAsia="Times New Roman" w:hAnsi="Montserrat" w:cs="Times New Roman"/>
          <w:sz w:val="18"/>
          <w:szCs w:val="18"/>
          <w:lang w:eastAsia="it-IT"/>
        </w:rPr>
        <w:t>Segui Pro Food su </w:t>
      </w:r>
      <w:hyperlink r:id="rId11" w:history="1">
        <w:r w:rsidRPr="00C83AFD">
          <w:rPr>
            <w:rFonts w:ascii="Montserrat" w:eastAsia="Times New Roman" w:hAnsi="Montserrat" w:cs="Times New Roman"/>
            <w:color w:val="0000FF"/>
            <w:sz w:val="18"/>
            <w:szCs w:val="18"/>
            <w:u w:val="single"/>
            <w:lang w:eastAsia="it-IT"/>
          </w:rPr>
          <w:t>Linkedin</w:t>
        </w:r>
      </w:hyperlink>
    </w:p>
    <w:p w14:paraId="547280AC" w14:textId="77777777" w:rsidR="001D6625" w:rsidRPr="00D677CD" w:rsidRDefault="001D6625" w:rsidP="00D677CD">
      <w:pPr>
        <w:rPr>
          <w:rFonts w:ascii="Open Sans" w:hAnsi="Open Sans" w:cs="Open Sans"/>
        </w:rPr>
      </w:pPr>
    </w:p>
    <w:sectPr w:rsidR="001D6625" w:rsidRPr="00D677CD" w:rsidSect="00403042">
      <w:headerReference w:type="default" r:id="rId12"/>
      <w:pgSz w:w="11900" w:h="16840"/>
      <w:pgMar w:top="169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19C9" w14:textId="77777777" w:rsidR="004876F5" w:rsidRDefault="004876F5" w:rsidP="00A07D23">
      <w:r>
        <w:separator/>
      </w:r>
    </w:p>
  </w:endnote>
  <w:endnote w:type="continuationSeparator" w:id="0">
    <w:p w14:paraId="2D93849C" w14:textId="77777777" w:rsidR="004876F5" w:rsidRDefault="004876F5" w:rsidP="00A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32F5" w14:textId="77777777" w:rsidR="004876F5" w:rsidRDefault="004876F5" w:rsidP="00A07D23">
      <w:r>
        <w:separator/>
      </w:r>
    </w:p>
  </w:footnote>
  <w:footnote w:type="continuationSeparator" w:id="0">
    <w:p w14:paraId="7A51C74F" w14:textId="77777777" w:rsidR="004876F5" w:rsidRDefault="004876F5" w:rsidP="00A0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EEAC" w14:textId="416ABBC5" w:rsidR="00A07D23" w:rsidRDefault="00A07D23" w:rsidP="00FE21CA">
    <w:pPr>
      <w:pStyle w:val="Intestazione"/>
      <w:tabs>
        <w:tab w:val="clear" w:pos="4819"/>
        <w:tab w:val="clear" w:pos="9638"/>
        <w:tab w:val="center" w:pos="4461"/>
      </w:tabs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CB97F8" wp14:editId="7DAB8442">
          <wp:simplePos x="0" y="0"/>
          <wp:positionH relativeFrom="column">
            <wp:posOffset>-254568</wp:posOffset>
          </wp:positionH>
          <wp:positionV relativeFrom="paragraph">
            <wp:posOffset>141605</wp:posOffset>
          </wp:positionV>
          <wp:extent cx="1712606" cy="5485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Unionplast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68" b="43654"/>
                  <a:stretch/>
                </pic:blipFill>
                <pic:spPr bwMode="auto">
                  <a:xfrm>
                    <a:off x="0" y="0"/>
                    <a:ext cx="1712606" cy="54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042">
      <w:t xml:space="preserve">  </w:t>
    </w:r>
    <w:r w:rsidR="00FE21CA">
      <w:t xml:space="preserve">                                   </w:t>
    </w:r>
    <w:r w:rsidR="00403042">
      <w:t xml:space="preserve">  </w:t>
    </w:r>
    <w:r w:rsidR="00FE21CA">
      <w:t xml:space="preserve">                                                                                                                   </w:t>
    </w:r>
    <w:r w:rsidR="00403042">
      <w:t xml:space="preserve"> </w:t>
    </w:r>
    <w:r w:rsidR="00FE21CA">
      <w:t xml:space="preserve"> </w:t>
    </w:r>
    <w:r w:rsidR="00FE21CA">
      <w:rPr>
        <w:noProof/>
      </w:rPr>
      <w:drawing>
        <wp:inline distT="0" distB="0" distL="0" distR="0" wp14:anchorId="00D6328C" wp14:editId="345DD557">
          <wp:extent cx="1168196" cy="948519"/>
          <wp:effectExtent l="0" t="0" r="63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" b="9455"/>
                  <a:stretch/>
                </pic:blipFill>
                <pic:spPr bwMode="auto">
                  <a:xfrm>
                    <a:off x="0" y="0"/>
                    <a:ext cx="1471744" cy="1194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3042">
      <w:t xml:space="preserve">                                                                                                        </w:t>
    </w:r>
  </w:p>
  <w:p w14:paraId="6EFC15C2" w14:textId="77777777" w:rsidR="0099443B" w:rsidRDefault="0099443B" w:rsidP="00A07D23">
    <w:pPr>
      <w:pStyle w:val="Intestazion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B55D6" wp14:editId="52C8AEE9">
              <wp:simplePos x="0" y="0"/>
              <wp:positionH relativeFrom="column">
                <wp:posOffset>-720090</wp:posOffset>
              </wp:positionH>
              <wp:positionV relativeFrom="paragraph">
                <wp:posOffset>216535</wp:posOffset>
              </wp:positionV>
              <wp:extent cx="7546340" cy="0"/>
              <wp:effectExtent l="0" t="0" r="10160" b="127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6340" cy="0"/>
                      </a:xfrm>
                      <a:prstGeom prst="line">
                        <a:avLst/>
                      </a:prstGeom>
                      <a:ln>
                        <a:solidFill>
                          <a:srgbClr val="004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99DC6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7.05pt" to="537.5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" strokecolor="#004288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17FC"/>
    <w:multiLevelType w:val="hybridMultilevel"/>
    <w:tmpl w:val="3D928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23"/>
    <w:rsid w:val="000543D4"/>
    <w:rsid w:val="00100B8E"/>
    <w:rsid w:val="001D6625"/>
    <w:rsid w:val="00254E02"/>
    <w:rsid w:val="002B7838"/>
    <w:rsid w:val="00403042"/>
    <w:rsid w:val="00485F50"/>
    <w:rsid w:val="004876F5"/>
    <w:rsid w:val="005824C9"/>
    <w:rsid w:val="0080714D"/>
    <w:rsid w:val="0097207C"/>
    <w:rsid w:val="0099443B"/>
    <w:rsid w:val="00A07D23"/>
    <w:rsid w:val="00A67514"/>
    <w:rsid w:val="00AC54B4"/>
    <w:rsid w:val="00B518A4"/>
    <w:rsid w:val="00B62905"/>
    <w:rsid w:val="00B63669"/>
    <w:rsid w:val="00C83AFD"/>
    <w:rsid w:val="00CC4075"/>
    <w:rsid w:val="00D62FF4"/>
    <w:rsid w:val="00D677CD"/>
    <w:rsid w:val="00E55EF9"/>
    <w:rsid w:val="00EB3B0C"/>
    <w:rsid w:val="00F65AA6"/>
    <w:rsid w:val="00FA6AD5"/>
    <w:rsid w:val="00FE21C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90118"/>
  <w15:chartTrackingRefBased/>
  <w15:docId w15:val="{7A8FC6A6-1AC8-A744-A6D2-D1AA092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rsid w:val="00A67514"/>
    <w:rPr>
      <w:rFonts w:ascii="Arial" w:hAnsi="Arial"/>
      <w:sz w:val="18"/>
      <w:szCs w:val="22"/>
    </w:rPr>
    <w:tblPr/>
  </w:style>
  <w:style w:type="paragraph" w:styleId="Intestazione">
    <w:name w:val="header"/>
    <w:basedOn w:val="Normale"/>
    <w:link w:val="IntestazioneCarattere"/>
    <w:uiPriority w:val="99"/>
    <w:unhideWhenUsed/>
    <w:rsid w:val="00A0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D23"/>
  </w:style>
  <w:style w:type="paragraph" w:styleId="Pidipagina">
    <w:name w:val="footer"/>
    <w:basedOn w:val="Normale"/>
    <w:link w:val="PidipaginaCarattere"/>
    <w:uiPriority w:val="99"/>
    <w:unhideWhenUsed/>
    <w:rsid w:val="00A0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D23"/>
  </w:style>
  <w:style w:type="character" w:styleId="Collegamentoipertestuale">
    <w:name w:val="Hyperlink"/>
    <w:basedOn w:val="Carpredefinitoparagrafo"/>
    <w:uiPriority w:val="99"/>
    <w:unhideWhenUsed/>
    <w:rsid w:val="00403042"/>
    <w:rPr>
      <w:color w:val="0000FF"/>
      <w:u w:val="single"/>
    </w:rPr>
  </w:style>
  <w:style w:type="paragraph" w:customStyle="1" w:styleId="Default">
    <w:name w:val="Default"/>
    <w:rsid w:val="00D677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diretti.it/ambiente-e-sviluppo-sostenibile/ue-appello-dalle-associazioni-alla-meloni-no-a-regolamento-imballaggi-perche-aumenta-inquinamen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agricoltura.it/ita/area-stampa/comunicati/regolamento-ue-imballaggi-le-imprese-in-audizione-alla-camera-forte-allarme-a-rischio-intere-filie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pro-food-italia-gruppo-produttori-imballaggi-per-alimenti-fresch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food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parl.eu/2023/11/16/documento-filctemcgil-femca-cisl-uiltec-uil-in-merito-al-regolamento-ue-imballaggi-e-rifiuti-di-imballaggio-ppw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Rushaj</dc:creator>
  <cp:keywords/>
  <dc:description/>
  <cp:lastModifiedBy>Microsoft Office User</cp:lastModifiedBy>
  <cp:revision>5</cp:revision>
  <dcterms:created xsi:type="dcterms:W3CDTF">2023-11-20T14:54:00Z</dcterms:created>
  <dcterms:modified xsi:type="dcterms:W3CDTF">2023-11-20T15:17:00Z</dcterms:modified>
</cp:coreProperties>
</file>